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45521" w14:textId="77777777" w:rsidR="0041438A" w:rsidRDefault="0041438A" w:rsidP="00BB2878">
      <w:pPr>
        <w:spacing w:after="0" w:line="240" w:lineRule="auto"/>
        <w:ind w:left="426" w:hanging="568"/>
        <w:jc w:val="center"/>
        <w:rPr>
          <w:rFonts w:ascii="Tw Cen MT" w:hAnsi="Tw Cen MT" w:cs="Calibri"/>
          <w:b/>
          <w:bCs/>
          <w:color w:val="002060"/>
          <w:sz w:val="24"/>
          <w:szCs w:val="24"/>
        </w:rPr>
      </w:pPr>
      <w:bookmarkStart w:id="0" w:name="_Hlk217628145"/>
      <w:bookmarkStart w:id="1" w:name="_Hlk218756303"/>
    </w:p>
    <w:p w14:paraId="1DB369C4" w14:textId="77777777" w:rsidR="0041438A" w:rsidRDefault="0041438A" w:rsidP="00BB2878">
      <w:pPr>
        <w:spacing w:after="0" w:line="240" w:lineRule="auto"/>
        <w:ind w:left="426" w:hanging="568"/>
        <w:jc w:val="center"/>
        <w:rPr>
          <w:rFonts w:ascii="Tw Cen MT" w:hAnsi="Tw Cen MT" w:cs="Calibri"/>
          <w:b/>
          <w:bCs/>
          <w:color w:val="002060"/>
          <w:sz w:val="24"/>
          <w:szCs w:val="24"/>
        </w:rPr>
      </w:pPr>
    </w:p>
    <w:p w14:paraId="0BE4BBC5" w14:textId="77777777" w:rsidR="00F11129" w:rsidRDefault="00F11129" w:rsidP="00BB2878">
      <w:pPr>
        <w:spacing w:after="0" w:line="240" w:lineRule="auto"/>
        <w:ind w:left="426" w:hanging="568"/>
        <w:jc w:val="center"/>
        <w:rPr>
          <w:rFonts w:ascii="Tw Cen MT" w:hAnsi="Tw Cen MT" w:cs="Calibri"/>
          <w:b/>
          <w:bCs/>
          <w:color w:val="002060"/>
          <w:sz w:val="24"/>
          <w:szCs w:val="24"/>
        </w:rPr>
      </w:pPr>
    </w:p>
    <w:p w14:paraId="43F28164" w14:textId="4BFEE003" w:rsidR="00BB2878" w:rsidRPr="00083DC8" w:rsidRDefault="00BB2878" w:rsidP="00BB2878">
      <w:pPr>
        <w:spacing w:after="0" w:line="240" w:lineRule="auto"/>
        <w:ind w:left="426" w:hanging="568"/>
        <w:jc w:val="center"/>
        <w:rPr>
          <w:rFonts w:ascii="Tw Cen MT" w:hAnsi="Tw Cen MT" w:cs="Calibri"/>
          <w:b/>
          <w:bCs/>
          <w:color w:val="002060"/>
          <w:sz w:val="24"/>
          <w:szCs w:val="24"/>
        </w:rPr>
      </w:pPr>
      <w:r w:rsidRPr="00083DC8">
        <w:rPr>
          <w:rFonts w:ascii="Tw Cen MT" w:hAnsi="Tw Cen MT" w:cs="Calibri"/>
          <w:b/>
          <w:bCs/>
          <w:color w:val="002060"/>
          <w:sz w:val="24"/>
          <w:szCs w:val="24"/>
        </w:rPr>
        <w:t>BASIN AÇIKLAMASI</w:t>
      </w:r>
    </w:p>
    <w:p w14:paraId="495AAB00" w14:textId="77777777" w:rsidR="00BB2878" w:rsidRPr="00083DC8" w:rsidRDefault="00BB2878" w:rsidP="00BB2878">
      <w:pPr>
        <w:pStyle w:val="ListParagraph"/>
        <w:spacing w:after="0" w:line="240" w:lineRule="auto"/>
        <w:ind w:left="426" w:hanging="568"/>
        <w:jc w:val="right"/>
        <w:rPr>
          <w:rFonts w:ascii="Tw Cen MT" w:hAnsi="Tw Cen MT" w:cs="Calibri"/>
          <w:b/>
          <w:bCs/>
          <w:color w:val="002060"/>
          <w:sz w:val="24"/>
          <w:szCs w:val="24"/>
        </w:rPr>
      </w:pPr>
    </w:p>
    <w:p w14:paraId="365EF864" w14:textId="0859D1EC" w:rsidR="00BB2878" w:rsidRPr="00083DC8" w:rsidRDefault="00BB2878" w:rsidP="00BB2878">
      <w:pPr>
        <w:pStyle w:val="ListParagraph"/>
        <w:spacing w:after="0" w:line="240" w:lineRule="auto"/>
        <w:ind w:left="426" w:hanging="568"/>
        <w:jc w:val="right"/>
        <w:rPr>
          <w:rFonts w:ascii="Tw Cen MT" w:hAnsi="Tw Cen MT" w:cs="Calibri"/>
          <w:b/>
          <w:bCs/>
          <w:color w:val="002060"/>
          <w:sz w:val="24"/>
          <w:szCs w:val="24"/>
        </w:rPr>
      </w:pPr>
      <w:r w:rsidRPr="00083DC8">
        <w:rPr>
          <w:rFonts w:cs="Calibri"/>
          <w:b/>
          <w:bCs/>
          <w:color w:val="002060"/>
          <w:sz w:val="24"/>
          <w:szCs w:val="24"/>
        </w:rPr>
        <w:t>İ</w:t>
      </w:r>
      <w:r w:rsidRPr="00083DC8">
        <w:rPr>
          <w:rFonts w:ascii="Tw Cen MT" w:hAnsi="Tw Cen MT" w:cs="Calibri"/>
          <w:b/>
          <w:bCs/>
          <w:color w:val="002060"/>
          <w:sz w:val="24"/>
          <w:szCs w:val="24"/>
        </w:rPr>
        <w:t xml:space="preserve">stanbul, </w:t>
      </w:r>
      <w:r w:rsidR="0041438A">
        <w:rPr>
          <w:rFonts w:ascii="Tw Cen MT" w:hAnsi="Tw Cen MT" w:cs="Calibri"/>
          <w:b/>
          <w:bCs/>
          <w:color w:val="002060"/>
          <w:sz w:val="24"/>
          <w:szCs w:val="24"/>
        </w:rPr>
        <w:t>22</w:t>
      </w:r>
      <w:r w:rsidRPr="00083DC8">
        <w:rPr>
          <w:rFonts w:ascii="Tw Cen MT" w:hAnsi="Tw Cen MT" w:cs="Calibri"/>
          <w:b/>
          <w:bCs/>
          <w:color w:val="002060"/>
          <w:sz w:val="24"/>
          <w:szCs w:val="24"/>
        </w:rPr>
        <w:t>.</w:t>
      </w:r>
      <w:r w:rsidR="00DE14D0">
        <w:rPr>
          <w:rFonts w:ascii="Tw Cen MT" w:hAnsi="Tw Cen MT" w:cs="Calibri"/>
          <w:b/>
          <w:bCs/>
          <w:color w:val="002060"/>
          <w:sz w:val="24"/>
          <w:szCs w:val="24"/>
        </w:rPr>
        <w:t>10</w:t>
      </w:r>
      <w:r w:rsidRPr="00083DC8">
        <w:rPr>
          <w:rFonts w:ascii="Tw Cen MT" w:hAnsi="Tw Cen MT" w:cs="Calibri"/>
          <w:b/>
          <w:bCs/>
          <w:color w:val="002060"/>
          <w:sz w:val="24"/>
          <w:szCs w:val="24"/>
        </w:rPr>
        <w:t>.2026</w:t>
      </w:r>
    </w:p>
    <w:p w14:paraId="6709107F" w14:textId="77777777" w:rsidR="00BB2878" w:rsidRPr="00083DC8" w:rsidRDefault="00BB2878" w:rsidP="00BB2878">
      <w:pPr>
        <w:pStyle w:val="ListParagraph"/>
        <w:spacing w:after="0" w:line="240" w:lineRule="auto"/>
        <w:ind w:left="284"/>
        <w:jc w:val="both"/>
        <w:rPr>
          <w:rFonts w:ascii="Tw Cen MT" w:eastAsia="Times New Roman" w:hAnsi="Tw Cen MT" w:cs="Calibri"/>
          <w:color w:val="002465"/>
          <w:spacing w:val="-7"/>
          <w:sz w:val="24"/>
          <w:szCs w:val="24"/>
          <w:lang w:eastAsia="en-GB"/>
        </w:rPr>
      </w:pPr>
    </w:p>
    <w:bookmarkEnd w:id="0"/>
    <w:bookmarkEnd w:id="1"/>
    <w:p w14:paraId="68C1D752" w14:textId="77777777" w:rsidR="0041438A" w:rsidRPr="00F11129" w:rsidRDefault="0041438A" w:rsidP="0041438A">
      <w:pPr>
        <w:numPr>
          <w:ilvl w:val="0"/>
          <w:numId w:val="16"/>
        </w:numPr>
        <w:spacing w:after="0" w:line="240" w:lineRule="auto"/>
        <w:ind w:left="284" w:hanging="284"/>
        <w:contextualSpacing/>
        <w:jc w:val="both"/>
        <w:rPr>
          <w:rFonts w:ascii="Tw Cen MT" w:eastAsiaTheme="minorHAnsi" w:hAnsi="Tw Cen MT" w:cs="Segoe UI"/>
          <w:color w:val="000000"/>
          <w:sz w:val="24"/>
          <w:szCs w:val="24"/>
          <w:shd w:val="clear" w:color="auto" w:fill="FFFFFF"/>
        </w:rPr>
      </w:pPr>
      <w:r w:rsidRPr="00F11129">
        <w:rPr>
          <w:rFonts w:ascii="Tw Cen MT" w:eastAsiaTheme="minorHAnsi" w:hAnsi="Tw Cen MT" w:cs="Segoe UI"/>
          <w:color w:val="000000"/>
          <w:sz w:val="24"/>
          <w:szCs w:val="24"/>
          <w:shd w:val="clear" w:color="auto" w:fill="FFFFFF"/>
        </w:rPr>
        <w:t>Yerel ve küresel enflasyon ve enerji fiyatlarındaki gelişmeler, rezervlerin durumu, fon krizinin etkileri, finansal istikrar ve dış koşulların belirsizli</w:t>
      </w:r>
      <w:r w:rsidRPr="00F11129">
        <w:rPr>
          <w:rFonts w:eastAsiaTheme="minorHAnsi" w:cs="Calibri"/>
          <w:color w:val="000000"/>
          <w:sz w:val="24"/>
          <w:szCs w:val="24"/>
          <w:shd w:val="clear" w:color="auto" w:fill="FFFFFF"/>
        </w:rPr>
        <w:t>ğ</w:t>
      </w:r>
      <w:r w:rsidRPr="00F11129">
        <w:rPr>
          <w:rFonts w:ascii="Tw Cen MT" w:eastAsiaTheme="minorHAnsi" w:hAnsi="Tw Cen MT" w:cs="Segoe UI"/>
          <w:color w:val="000000"/>
          <w:sz w:val="24"/>
          <w:szCs w:val="24"/>
          <w:shd w:val="clear" w:color="auto" w:fill="FFFFFF"/>
        </w:rPr>
        <w:t xml:space="preserve">i, mevcut durumda faiz indirimlerine başlanılmasını net bir şekilde engelleyici niteliktedir. </w:t>
      </w:r>
    </w:p>
    <w:p w14:paraId="6F6E54A8" w14:textId="77777777" w:rsidR="0041438A" w:rsidRPr="00F11129" w:rsidRDefault="0041438A" w:rsidP="0041438A">
      <w:pPr>
        <w:spacing w:after="0" w:line="240" w:lineRule="auto"/>
        <w:ind w:left="284" w:hanging="284"/>
        <w:contextualSpacing/>
        <w:jc w:val="both"/>
        <w:rPr>
          <w:rFonts w:ascii="Tw Cen MT" w:eastAsiaTheme="minorHAnsi" w:hAnsi="Tw Cen MT" w:cs="Segoe UI"/>
          <w:color w:val="212931"/>
          <w:sz w:val="24"/>
          <w:szCs w:val="24"/>
          <w:shd w:val="clear" w:color="auto" w:fill="FFFFFF"/>
        </w:rPr>
      </w:pPr>
    </w:p>
    <w:p w14:paraId="76B29223" w14:textId="77777777" w:rsidR="0041438A" w:rsidRPr="00F11129" w:rsidRDefault="0041438A" w:rsidP="0041438A">
      <w:pPr>
        <w:numPr>
          <w:ilvl w:val="0"/>
          <w:numId w:val="16"/>
        </w:numPr>
        <w:spacing w:after="0" w:line="240" w:lineRule="auto"/>
        <w:ind w:left="284" w:hanging="284"/>
        <w:contextualSpacing/>
        <w:jc w:val="both"/>
        <w:rPr>
          <w:rFonts w:ascii="Tw Cen MT" w:eastAsiaTheme="minorHAnsi" w:hAnsi="Tw Cen MT" w:cs="Segoe UI"/>
          <w:color w:val="212931"/>
          <w:sz w:val="24"/>
          <w:szCs w:val="24"/>
          <w:shd w:val="clear" w:color="auto" w:fill="FFFFFF"/>
        </w:rPr>
      </w:pPr>
      <w:r w:rsidRPr="00F11129">
        <w:rPr>
          <w:rFonts w:eastAsiaTheme="minorHAnsi" w:cs="Calibri"/>
          <w:color w:val="212931"/>
          <w:sz w:val="24"/>
          <w:szCs w:val="24"/>
          <w:shd w:val="clear" w:color="auto" w:fill="FFFFFF"/>
        </w:rPr>
        <w:t>İ</w:t>
      </w:r>
      <w:r w:rsidRPr="00F11129">
        <w:rPr>
          <w:rFonts w:ascii="Tw Cen MT" w:eastAsiaTheme="minorHAnsi" w:hAnsi="Tw Cen MT" w:cs="Tw Cen MT"/>
          <w:color w:val="212931"/>
          <w:sz w:val="24"/>
          <w:szCs w:val="24"/>
          <w:shd w:val="clear" w:color="auto" w:fill="FFFFFF"/>
        </w:rPr>
        <w:t>ç</w:t>
      </w:r>
      <w:r w:rsidRPr="00F11129">
        <w:rPr>
          <w:rFonts w:ascii="Tw Cen MT" w:eastAsiaTheme="minorHAnsi" w:hAnsi="Tw Cen MT" w:cs="Segoe UI"/>
          <w:color w:val="212931"/>
          <w:sz w:val="24"/>
          <w:szCs w:val="24"/>
          <w:shd w:val="clear" w:color="auto" w:fill="FFFFFF"/>
        </w:rPr>
        <w:t xml:space="preserve"> talepteki yava</w:t>
      </w:r>
      <w:r w:rsidRPr="00F11129">
        <w:rPr>
          <w:rFonts w:ascii="Tw Cen MT" w:eastAsiaTheme="minorHAnsi" w:hAnsi="Tw Cen MT" w:cs="Tw Cen MT"/>
          <w:color w:val="212931"/>
          <w:sz w:val="24"/>
          <w:szCs w:val="24"/>
          <w:shd w:val="clear" w:color="auto" w:fill="FFFFFF"/>
        </w:rPr>
        <w:t>ş</w:t>
      </w:r>
      <w:r w:rsidRPr="00F11129">
        <w:rPr>
          <w:rFonts w:ascii="Tw Cen MT" w:eastAsiaTheme="minorHAnsi" w:hAnsi="Tw Cen MT" w:cs="Segoe UI"/>
          <w:color w:val="212931"/>
          <w:sz w:val="24"/>
          <w:szCs w:val="24"/>
          <w:shd w:val="clear" w:color="auto" w:fill="FFFFFF"/>
        </w:rPr>
        <w:t>lama ve enflasyonda Eylül ayına ilişkin kalıcı olamayan geçici bir gerilemenin faiz indirimi için alan oluşturdu</w:t>
      </w:r>
      <w:r w:rsidRPr="00F11129">
        <w:rPr>
          <w:rFonts w:eastAsiaTheme="minorHAnsi" w:cs="Calibri"/>
          <w:color w:val="212931"/>
          <w:sz w:val="24"/>
          <w:szCs w:val="24"/>
          <w:shd w:val="clear" w:color="auto" w:fill="FFFFFF"/>
        </w:rPr>
        <w:t>ğ</w:t>
      </w:r>
      <w:r w:rsidRPr="00F11129">
        <w:rPr>
          <w:rFonts w:ascii="Tw Cen MT" w:eastAsiaTheme="minorHAnsi" w:hAnsi="Tw Cen MT" w:cs="Segoe UI"/>
          <w:color w:val="212931"/>
          <w:sz w:val="24"/>
          <w:szCs w:val="24"/>
          <w:shd w:val="clear" w:color="auto" w:fill="FFFFFF"/>
        </w:rPr>
        <w:t>u d</w:t>
      </w:r>
      <w:r w:rsidRPr="00F11129">
        <w:rPr>
          <w:rFonts w:ascii="Tw Cen MT" w:eastAsiaTheme="minorHAnsi" w:hAnsi="Tw Cen MT" w:cs="Tw Cen MT"/>
          <w:color w:val="212931"/>
          <w:sz w:val="24"/>
          <w:szCs w:val="24"/>
          <w:shd w:val="clear" w:color="auto" w:fill="FFFFFF"/>
        </w:rPr>
        <w:t>üşü</w:t>
      </w:r>
      <w:r w:rsidRPr="00F11129">
        <w:rPr>
          <w:rFonts w:ascii="Tw Cen MT" w:eastAsiaTheme="minorHAnsi" w:hAnsi="Tw Cen MT" w:cs="Segoe UI"/>
          <w:color w:val="212931"/>
          <w:sz w:val="24"/>
          <w:szCs w:val="24"/>
          <w:shd w:val="clear" w:color="auto" w:fill="FFFFFF"/>
        </w:rPr>
        <w:t>ncesi bu aşamada do</w:t>
      </w:r>
      <w:r w:rsidRPr="00F11129">
        <w:rPr>
          <w:rFonts w:eastAsiaTheme="minorHAnsi" w:cs="Calibri"/>
          <w:color w:val="212931"/>
          <w:sz w:val="24"/>
          <w:szCs w:val="24"/>
          <w:shd w:val="clear" w:color="auto" w:fill="FFFFFF"/>
        </w:rPr>
        <w:t>ğ</w:t>
      </w:r>
      <w:r w:rsidRPr="00F11129">
        <w:rPr>
          <w:rFonts w:ascii="Tw Cen MT" w:eastAsiaTheme="minorHAnsi" w:hAnsi="Tw Cen MT" w:cs="Segoe UI"/>
          <w:color w:val="212931"/>
          <w:sz w:val="24"/>
          <w:szCs w:val="24"/>
          <w:shd w:val="clear" w:color="auto" w:fill="FFFFFF"/>
        </w:rPr>
        <w:t>ru de</w:t>
      </w:r>
      <w:r w:rsidRPr="00F11129">
        <w:rPr>
          <w:rFonts w:eastAsiaTheme="minorHAnsi" w:cs="Calibri"/>
          <w:color w:val="212931"/>
          <w:sz w:val="24"/>
          <w:szCs w:val="24"/>
          <w:shd w:val="clear" w:color="auto" w:fill="FFFFFF"/>
        </w:rPr>
        <w:t>ğ</w:t>
      </w:r>
      <w:r w:rsidRPr="00F11129">
        <w:rPr>
          <w:rFonts w:ascii="Tw Cen MT" w:eastAsiaTheme="minorHAnsi" w:hAnsi="Tw Cen MT" w:cs="Segoe UI"/>
          <w:color w:val="212931"/>
          <w:sz w:val="24"/>
          <w:szCs w:val="24"/>
          <w:shd w:val="clear" w:color="auto" w:fill="FFFFFF"/>
        </w:rPr>
        <w:t>ildir.</w:t>
      </w:r>
    </w:p>
    <w:p w14:paraId="3B9D3224" w14:textId="77777777" w:rsidR="0041438A" w:rsidRPr="00F11129" w:rsidRDefault="0041438A" w:rsidP="0041438A">
      <w:pPr>
        <w:spacing w:after="0" w:line="240" w:lineRule="auto"/>
        <w:ind w:left="284" w:hanging="284"/>
        <w:contextualSpacing/>
        <w:jc w:val="both"/>
        <w:rPr>
          <w:rFonts w:ascii="Tw Cen MT" w:eastAsiaTheme="minorHAnsi" w:hAnsi="Tw Cen MT" w:cs="Segoe UI"/>
          <w:color w:val="212931"/>
          <w:sz w:val="24"/>
          <w:szCs w:val="24"/>
          <w:shd w:val="clear" w:color="auto" w:fill="FFFFFF"/>
        </w:rPr>
      </w:pPr>
    </w:p>
    <w:p w14:paraId="18995870" w14:textId="77777777" w:rsidR="0041438A" w:rsidRPr="00F11129" w:rsidRDefault="0041438A" w:rsidP="0041438A">
      <w:pPr>
        <w:numPr>
          <w:ilvl w:val="0"/>
          <w:numId w:val="16"/>
        </w:numPr>
        <w:spacing w:after="0" w:line="240" w:lineRule="auto"/>
        <w:ind w:left="284" w:hanging="284"/>
        <w:contextualSpacing/>
        <w:jc w:val="both"/>
        <w:rPr>
          <w:rFonts w:ascii="Tw Cen MT" w:eastAsiaTheme="minorHAnsi" w:hAnsi="Tw Cen MT" w:cs="Segoe UI"/>
          <w:color w:val="212931"/>
          <w:sz w:val="24"/>
          <w:szCs w:val="24"/>
          <w:shd w:val="clear" w:color="auto" w:fill="FFFFFF"/>
        </w:rPr>
      </w:pPr>
      <w:r w:rsidRPr="00F11129">
        <w:rPr>
          <w:rFonts w:ascii="Tw Cen MT" w:eastAsiaTheme="minorHAnsi" w:hAnsi="Tw Cen MT" w:cs="Segoe UI"/>
          <w:color w:val="212931"/>
          <w:sz w:val="24"/>
          <w:szCs w:val="24"/>
          <w:shd w:val="clear" w:color="auto" w:fill="FFFFFF"/>
        </w:rPr>
        <w:t>Politika faizi inerken sıkı duruşun korunaca</w:t>
      </w:r>
      <w:r w:rsidRPr="00F11129">
        <w:rPr>
          <w:rFonts w:eastAsiaTheme="minorHAnsi" w:cs="Calibri"/>
          <w:color w:val="212931"/>
          <w:sz w:val="24"/>
          <w:szCs w:val="24"/>
          <w:shd w:val="clear" w:color="auto" w:fill="FFFFFF"/>
        </w:rPr>
        <w:t>ğ</w:t>
      </w:r>
      <w:r w:rsidRPr="00F11129">
        <w:rPr>
          <w:rFonts w:ascii="Tw Cen MT" w:eastAsiaTheme="minorHAnsi" w:hAnsi="Tw Cen MT" w:cs="Tw Cen MT"/>
          <w:color w:val="212931"/>
          <w:sz w:val="24"/>
          <w:szCs w:val="24"/>
          <w:shd w:val="clear" w:color="auto" w:fill="FFFFFF"/>
        </w:rPr>
        <w:t>ı</w:t>
      </w:r>
      <w:r w:rsidRPr="00F11129">
        <w:rPr>
          <w:rFonts w:ascii="Tw Cen MT" w:eastAsiaTheme="minorHAnsi" w:hAnsi="Tw Cen MT" w:cs="Segoe UI"/>
          <w:color w:val="212931"/>
          <w:sz w:val="24"/>
          <w:szCs w:val="24"/>
          <w:shd w:val="clear" w:color="auto" w:fill="FFFFFF"/>
        </w:rPr>
        <w:t>na ve borsadaki negatif yönlü fiyat gelişmelerine yardımcı olaca</w:t>
      </w:r>
      <w:r w:rsidRPr="00F11129">
        <w:rPr>
          <w:rFonts w:eastAsiaTheme="minorHAnsi" w:cs="Calibri"/>
          <w:color w:val="212931"/>
          <w:sz w:val="24"/>
          <w:szCs w:val="24"/>
          <w:shd w:val="clear" w:color="auto" w:fill="FFFFFF"/>
        </w:rPr>
        <w:t>ğ</w:t>
      </w:r>
      <w:r w:rsidRPr="00F11129">
        <w:rPr>
          <w:rFonts w:ascii="Tw Cen MT" w:eastAsiaTheme="minorHAnsi" w:hAnsi="Tw Cen MT" w:cs="Tw Cen MT"/>
          <w:color w:val="212931"/>
          <w:sz w:val="24"/>
          <w:szCs w:val="24"/>
          <w:shd w:val="clear" w:color="auto" w:fill="FFFFFF"/>
        </w:rPr>
        <w:t>ı</w:t>
      </w:r>
      <w:r w:rsidRPr="00F11129">
        <w:rPr>
          <w:rFonts w:ascii="Tw Cen MT" w:eastAsiaTheme="minorHAnsi" w:hAnsi="Tw Cen MT" w:cs="Segoe UI"/>
          <w:color w:val="212931"/>
          <w:sz w:val="24"/>
          <w:szCs w:val="24"/>
          <w:shd w:val="clear" w:color="auto" w:fill="FFFFFF"/>
        </w:rPr>
        <w:t>na ilişkin iddia ve beklentiler de do</w:t>
      </w:r>
      <w:r w:rsidRPr="00F11129">
        <w:rPr>
          <w:rFonts w:eastAsiaTheme="minorHAnsi" w:cs="Calibri"/>
          <w:color w:val="212931"/>
          <w:sz w:val="24"/>
          <w:szCs w:val="24"/>
          <w:shd w:val="clear" w:color="auto" w:fill="FFFFFF"/>
        </w:rPr>
        <w:t>ğ</w:t>
      </w:r>
      <w:r w:rsidRPr="00F11129">
        <w:rPr>
          <w:rFonts w:ascii="Tw Cen MT" w:eastAsiaTheme="minorHAnsi" w:hAnsi="Tw Cen MT" w:cs="Segoe UI"/>
          <w:color w:val="212931"/>
          <w:sz w:val="24"/>
          <w:szCs w:val="24"/>
          <w:shd w:val="clear" w:color="auto" w:fill="FFFFFF"/>
        </w:rPr>
        <w:t>ru ve gerçekçi bir tahmin de</w:t>
      </w:r>
      <w:r w:rsidRPr="00F11129">
        <w:rPr>
          <w:rFonts w:eastAsiaTheme="minorHAnsi" w:cs="Calibri"/>
          <w:color w:val="212931"/>
          <w:sz w:val="24"/>
          <w:szCs w:val="24"/>
          <w:shd w:val="clear" w:color="auto" w:fill="FFFFFF"/>
        </w:rPr>
        <w:t>ğ</w:t>
      </w:r>
      <w:r w:rsidRPr="00F11129">
        <w:rPr>
          <w:rFonts w:ascii="Tw Cen MT" w:eastAsiaTheme="minorHAnsi" w:hAnsi="Tw Cen MT" w:cs="Segoe UI"/>
          <w:color w:val="212931"/>
          <w:sz w:val="24"/>
          <w:szCs w:val="24"/>
          <w:shd w:val="clear" w:color="auto" w:fill="FFFFFF"/>
        </w:rPr>
        <w:t xml:space="preserve">ildir. </w:t>
      </w:r>
    </w:p>
    <w:p w14:paraId="257D9AF6" w14:textId="77777777" w:rsidR="00FB2E1F" w:rsidRPr="00083DC8" w:rsidRDefault="00FB2E1F" w:rsidP="0041438A">
      <w:pPr>
        <w:spacing w:after="0" w:line="240" w:lineRule="auto"/>
        <w:ind w:left="284" w:hanging="284"/>
        <w:rPr>
          <w:rFonts w:ascii="Tw Cen MT" w:hAnsi="Tw Cen MT" w:cs="Calibri"/>
          <w:b/>
          <w:bCs/>
          <w:color w:val="002060"/>
          <w:sz w:val="24"/>
          <w:szCs w:val="24"/>
        </w:rPr>
      </w:pPr>
      <w:r w:rsidRPr="00083DC8">
        <w:rPr>
          <w:rFonts w:ascii="Tw Cen MT" w:hAnsi="Tw Cen MT" w:cs="Calibri"/>
          <w:b/>
          <w:bCs/>
          <w:color w:val="002465"/>
          <w:sz w:val="24"/>
          <w:szCs w:val="24"/>
        </w:rPr>
        <w:t xml:space="preserve"> </w:t>
      </w:r>
      <w:r w:rsidRPr="00083DC8">
        <w:rPr>
          <w:rFonts w:ascii="Tw Cen MT" w:hAnsi="Tw Cen MT" w:cs="Calibri"/>
          <w:b/>
          <w:bCs/>
          <w:color w:val="002060"/>
          <w:sz w:val="24"/>
          <w:szCs w:val="24"/>
        </w:rPr>
        <w:t xml:space="preserve">              </w:t>
      </w:r>
    </w:p>
    <w:p w14:paraId="58CDD9BB" w14:textId="77777777" w:rsidR="0041438A" w:rsidRDefault="00FB2E1F" w:rsidP="00FB2E1F">
      <w:pPr>
        <w:spacing w:after="0" w:line="240" w:lineRule="auto"/>
        <w:ind w:left="284" w:hanging="284"/>
        <w:rPr>
          <w:rFonts w:ascii="Tw Cen MT" w:hAnsi="Tw Cen MT" w:cs="Calibri"/>
          <w:b/>
          <w:bCs/>
          <w:color w:val="002060"/>
          <w:sz w:val="24"/>
          <w:szCs w:val="24"/>
        </w:rPr>
      </w:pPr>
      <w:r w:rsidRPr="00083DC8">
        <w:rPr>
          <w:rFonts w:ascii="Tw Cen MT" w:hAnsi="Tw Cen MT" w:cs="Calibri"/>
          <w:b/>
          <w:bCs/>
          <w:color w:val="002060"/>
          <w:sz w:val="24"/>
          <w:szCs w:val="24"/>
        </w:rPr>
        <w:t xml:space="preserve">        </w:t>
      </w:r>
    </w:p>
    <w:p w14:paraId="5EAEA456" w14:textId="53F0F24F" w:rsidR="00FB2E1F" w:rsidRPr="00083DC8" w:rsidRDefault="0041438A" w:rsidP="00FB2E1F">
      <w:pPr>
        <w:spacing w:after="0" w:line="240" w:lineRule="auto"/>
        <w:ind w:left="284" w:hanging="284"/>
        <w:rPr>
          <w:rFonts w:ascii="Tw Cen MT" w:hAnsi="Tw Cen MT" w:cs="Calibri"/>
          <w:b/>
          <w:bCs/>
          <w:color w:val="002060"/>
          <w:sz w:val="24"/>
          <w:szCs w:val="24"/>
        </w:rPr>
      </w:pPr>
      <w:r>
        <w:rPr>
          <w:rFonts w:ascii="Tw Cen MT" w:hAnsi="Tw Cen MT" w:cs="Calibri"/>
          <w:b/>
          <w:bCs/>
          <w:color w:val="002060"/>
          <w:sz w:val="24"/>
          <w:szCs w:val="24"/>
        </w:rPr>
        <w:t xml:space="preserve">       </w:t>
      </w:r>
      <w:r w:rsidR="00FB2E1F" w:rsidRPr="00083DC8">
        <w:rPr>
          <w:rFonts w:ascii="Tw Cen MT" w:hAnsi="Tw Cen MT" w:cs="Calibri"/>
          <w:b/>
          <w:bCs/>
          <w:color w:val="002060"/>
          <w:sz w:val="24"/>
          <w:szCs w:val="24"/>
        </w:rPr>
        <w:t xml:space="preserve">  W O R L D   R A T I N G </w:t>
      </w:r>
    </w:p>
    <w:p w14:paraId="6CE35054" w14:textId="77777777" w:rsidR="00FB2E1F" w:rsidRPr="00083DC8" w:rsidRDefault="00FB2E1F" w:rsidP="00FB2E1F">
      <w:pPr>
        <w:spacing w:after="0" w:line="240" w:lineRule="auto"/>
        <w:ind w:left="284" w:hanging="284"/>
        <w:rPr>
          <w:rFonts w:ascii="Tw Cen MT" w:hAnsi="Tw Cen MT" w:cs="Calibri"/>
          <w:b/>
          <w:bCs/>
          <w:color w:val="002060"/>
          <w:sz w:val="24"/>
          <w:szCs w:val="24"/>
        </w:rPr>
      </w:pPr>
      <w:r w:rsidRPr="00083DC8">
        <w:rPr>
          <w:rFonts w:ascii="Tw Cen MT" w:hAnsi="Tw Cen MT" w:cs="Calibri"/>
          <w:b/>
          <w:bCs/>
          <w:color w:val="002060"/>
          <w:sz w:val="24"/>
          <w:szCs w:val="24"/>
        </w:rPr>
        <w:t xml:space="preserve">                Orhan ÖKMEN </w:t>
      </w:r>
    </w:p>
    <w:p w14:paraId="678DA598" w14:textId="77777777" w:rsidR="00FB2E1F" w:rsidRPr="00083DC8" w:rsidRDefault="00FB2E1F" w:rsidP="00FB2E1F">
      <w:pPr>
        <w:spacing w:after="0" w:line="240" w:lineRule="auto"/>
        <w:ind w:left="284" w:hanging="284"/>
        <w:rPr>
          <w:rFonts w:ascii="Tw Cen MT" w:hAnsi="Tw Cen MT" w:cs="Calibri"/>
          <w:b/>
          <w:bCs/>
          <w:color w:val="002060"/>
          <w:sz w:val="24"/>
          <w:szCs w:val="24"/>
        </w:rPr>
      </w:pPr>
      <w:r w:rsidRPr="00083DC8">
        <w:rPr>
          <w:rFonts w:ascii="Tw Cen MT" w:hAnsi="Tw Cen MT" w:cs="Calibri"/>
          <w:b/>
          <w:bCs/>
          <w:color w:val="002060"/>
          <w:sz w:val="24"/>
          <w:szCs w:val="24"/>
        </w:rPr>
        <w:t xml:space="preserve">                      Başkan  </w:t>
      </w:r>
    </w:p>
    <w:p w14:paraId="39B5ABFB" w14:textId="77777777" w:rsidR="00FB2E1F" w:rsidRPr="00083DC8" w:rsidRDefault="00FB2E1F" w:rsidP="00FB2E1F">
      <w:pPr>
        <w:spacing w:after="0" w:line="240" w:lineRule="auto"/>
        <w:ind w:left="284" w:hanging="284"/>
        <w:rPr>
          <w:rFonts w:ascii="Tw Cen MT" w:hAnsi="Tw Cen MT" w:cs="Calibri"/>
          <w:b/>
          <w:bCs/>
          <w:color w:val="002060"/>
          <w:sz w:val="24"/>
          <w:szCs w:val="24"/>
        </w:rPr>
      </w:pPr>
    </w:p>
    <w:p w14:paraId="7EA72D92" w14:textId="77777777" w:rsidR="00FB2E1F" w:rsidRPr="00083DC8" w:rsidRDefault="00FB2E1F" w:rsidP="00FB2E1F">
      <w:pPr>
        <w:spacing w:after="0" w:line="240" w:lineRule="auto"/>
        <w:ind w:left="284" w:hanging="284"/>
        <w:rPr>
          <w:rFonts w:ascii="Tw Cen MT" w:hAnsi="Tw Cen MT" w:cs="Calibri"/>
          <w:b/>
          <w:bCs/>
          <w:color w:val="002060"/>
          <w:sz w:val="24"/>
          <w:szCs w:val="24"/>
        </w:rPr>
      </w:pPr>
    </w:p>
    <w:p w14:paraId="1549E6C6" w14:textId="77777777" w:rsidR="00FB2E1F" w:rsidRPr="00083DC8" w:rsidRDefault="00FB2E1F" w:rsidP="00FB2E1F">
      <w:pPr>
        <w:spacing w:after="0" w:line="240" w:lineRule="auto"/>
        <w:ind w:left="284" w:hanging="284"/>
        <w:rPr>
          <w:rFonts w:ascii="Tw Cen MT" w:hAnsi="Tw Cen MT" w:cs="Calibri"/>
          <w:b/>
          <w:bCs/>
          <w:color w:val="002060"/>
          <w:sz w:val="24"/>
          <w:szCs w:val="24"/>
        </w:rPr>
      </w:pPr>
    </w:p>
    <w:sectPr w:rsidR="00FB2E1F" w:rsidRPr="00083DC8" w:rsidSect="00103226">
      <w:headerReference w:type="default" r:id="rId7"/>
      <w:footerReference w:type="default" r:id="rId8"/>
      <w:pgSz w:w="11906" w:h="16838"/>
      <w:pgMar w:top="49" w:right="1274" w:bottom="1701" w:left="127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B3358" w14:textId="77777777" w:rsidR="00CA2D5A" w:rsidRDefault="00CA2D5A">
      <w:pPr>
        <w:spacing w:after="0" w:line="240" w:lineRule="auto"/>
      </w:pPr>
      <w:r>
        <w:separator/>
      </w:r>
    </w:p>
  </w:endnote>
  <w:endnote w:type="continuationSeparator" w:id="0">
    <w:p w14:paraId="25074A2A" w14:textId="77777777" w:rsidR="00CA2D5A" w:rsidRDefault="00CA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A2"/>
    <w:family w:val="swiss"/>
    <w:pitch w:val="variable"/>
    <w:sig w:usb0="E4002EFF" w:usb1="C000E47F"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44B0F" w14:textId="77777777" w:rsidR="00BB2878" w:rsidRPr="00BB2878" w:rsidRDefault="00BB2878" w:rsidP="00AB152D">
    <w:pPr>
      <w:pStyle w:val="Footer"/>
      <w:pBdr>
        <w:bottom w:val="single" w:sz="6" w:space="1" w:color="auto"/>
      </w:pBdr>
      <w:spacing w:after="0"/>
      <w:jc w:val="center"/>
      <w:rPr>
        <w:rFonts w:ascii="Bodoni MT Condensed" w:hAnsi="Bodoni MT Condensed"/>
        <w:b/>
        <w:color w:val="000066"/>
        <w:spacing w:val="20"/>
        <w:w w:val="150"/>
        <w:lang w:val="en-GB"/>
        <w14:shadow w14:blurRad="50800" w14:dist="38100" w14:dir="2700000" w14:sx="100000" w14:sy="100000" w14:kx="0" w14:ky="0" w14:algn="tl">
          <w14:srgbClr w14:val="000000">
            <w14:alpha w14:val="60000"/>
          </w14:srgbClr>
        </w14:shadow>
      </w:rPr>
    </w:pPr>
    <w:r w:rsidRPr="00BB2878">
      <w:rPr>
        <w:rFonts w:ascii="Bodoni MT Condensed" w:hAnsi="Bodoni MT Condensed"/>
        <w:b/>
        <w:color w:val="000066"/>
        <w:spacing w:val="20"/>
        <w:w w:val="150"/>
        <w:lang w:val="en-GB"/>
        <w14:shadow w14:blurRad="50800" w14:dist="38100" w14:dir="2700000" w14:sx="100000" w14:sy="100000" w14:kx="0" w14:ky="0" w14:algn="tl">
          <w14:srgbClr w14:val="000000">
            <w14:alpha w14:val="60000"/>
          </w14:srgbClr>
        </w14:shadow>
      </w:rPr>
      <w:t xml:space="preserve">Locally, Globally </w:t>
    </w:r>
  </w:p>
  <w:p w14:paraId="62802D6D" w14:textId="77777777" w:rsidR="00BB2878" w:rsidRPr="007D5848" w:rsidRDefault="00BB2878" w:rsidP="007F60C3">
    <w:pPr>
      <w:pStyle w:val="Footer"/>
      <w:spacing w:after="0" w:line="240" w:lineRule="auto"/>
      <w:jc w:val="both"/>
      <w:rPr>
        <w:color w:val="002060"/>
        <w:sz w:val="12"/>
        <w:szCs w:val="12"/>
        <w:lang w:val="en-GB"/>
      </w:rPr>
    </w:pPr>
    <w:r w:rsidRPr="007D5848">
      <w:rPr>
        <w:b/>
        <w:i/>
        <w:color w:val="002060"/>
        <w:sz w:val="12"/>
        <w:szCs w:val="12"/>
        <w:lang w:val="en-GB"/>
      </w:rPr>
      <w:t>Copyright ©</w:t>
    </w:r>
    <w:r w:rsidRPr="007D5848">
      <w:rPr>
        <w:b/>
        <w:i/>
        <w:color w:val="002060"/>
        <w:spacing w:val="-3"/>
        <w:sz w:val="12"/>
        <w:szCs w:val="12"/>
        <w:lang w:val="en-GB"/>
      </w:rPr>
      <w:t xml:space="preserve"> </w:t>
    </w:r>
    <w:r w:rsidRPr="007D5848">
      <w:rPr>
        <w:b/>
        <w:i/>
        <w:noProof/>
        <w:color w:val="002060"/>
        <w:sz w:val="12"/>
        <w:szCs w:val="12"/>
        <w:lang w:val="en-GB"/>
      </w:rPr>
      <w:t xml:space="preserve">2026 </w:t>
    </w:r>
    <w:r w:rsidRPr="007D5848">
      <w:rPr>
        <w:b/>
        <w:i/>
        <w:noProof/>
        <w:color w:val="002060"/>
        <w:spacing w:val="-4"/>
        <w:sz w:val="12"/>
        <w:szCs w:val="12"/>
        <w:lang w:val="en-GB"/>
      </w:rPr>
      <w:t xml:space="preserve"> </w:t>
    </w:r>
    <w:r w:rsidRPr="007D5848">
      <w:rPr>
        <w:b/>
        <w:i/>
        <w:noProof/>
        <w:color w:val="002060"/>
        <w:sz w:val="12"/>
        <w:szCs w:val="12"/>
        <w:lang w:val="en-GB"/>
      </w:rPr>
      <w:t>by World Rating.</w:t>
    </w:r>
    <w:r w:rsidRPr="007D5848">
      <w:rPr>
        <w:b/>
        <w:i/>
        <w:noProof/>
        <w:color w:val="002060"/>
        <w:spacing w:val="-1"/>
        <w:sz w:val="12"/>
        <w:szCs w:val="12"/>
        <w:lang w:val="en-GB"/>
      </w:rPr>
      <w:t xml:space="preserve"> </w:t>
    </w:r>
    <w:r w:rsidRPr="007D5848">
      <w:rPr>
        <w:rFonts w:cs="Calibri"/>
        <w:b/>
        <w:bCs/>
        <w:i/>
        <w:iCs/>
        <w:noProof/>
        <w:color w:val="002060"/>
        <w:sz w:val="12"/>
        <w:szCs w:val="12"/>
        <w:shd w:val="clear" w:color="auto" w:fill="FFFFFF"/>
        <w:lang w:val="en-GB"/>
      </w:rPr>
      <w:t>Akat Mahallesi, Nisbetiye Caddesi, Aysu Sokak, Ceylan Apartmanı No: 1/8 Beşiktaş,</w:t>
    </w:r>
    <w:r w:rsidRPr="007D5848">
      <w:rPr>
        <w:rFonts w:cs="Calibri"/>
        <w:b/>
        <w:bCs/>
        <w:i/>
        <w:iCs/>
        <w:color w:val="002060"/>
        <w:sz w:val="12"/>
        <w:szCs w:val="12"/>
        <w:shd w:val="clear" w:color="auto" w:fill="FFFFFF"/>
        <w:lang w:val="en-GB"/>
      </w:rPr>
      <w:t xml:space="preserve"> İstanbul, Türkiye. </w:t>
    </w:r>
    <w:r w:rsidRPr="007D5848">
      <w:rPr>
        <w:rFonts w:cs="Calibri"/>
        <w:b/>
        <w:bCs/>
        <w:i/>
        <w:iCs/>
        <w:color w:val="002060"/>
        <w:sz w:val="12"/>
        <w:szCs w:val="12"/>
        <w:lang w:val="en-GB"/>
      </w:rPr>
      <w:t>Te</w:t>
    </w:r>
    <w:r w:rsidRPr="007D5848">
      <w:rPr>
        <w:b/>
        <w:i/>
        <w:color w:val="002060"/>
        <w:sz w:val="12"/>
        <w:szCs w:val="12"/>
        <w:lang w:val="en-GB"/>
      </w:rPr>
      <w:t>lephone:</w:t>
    </w:r>
    <w:r w:rsidRPr="007D5848">
      <w:rPr>
        <w:b/>
        <w:i/>
        <w:color w:val="002060"/>
        <w:spacing w:val="-1"/>
        <w:sz w:val="12"/>
        <w:szCs w:val="12"/>
        <w:lang w:val="en-GB"/>
      </w:rPr>
      <w:t xml:space="preserve"> </w:t>
    </w:r>
    <w:r w:rsidRPr="007D5848">
      <w:rPr>
        <w:b/>
        <w:i/>
        <w:color w:val="002060"/>
        <w:sz w:val="12"/>
        <w:szCs w:val="12"/>
        <w:lang w:val="en-GB"/>
      </w:rPr>
      <w:t>+90(212)351 30 66,</w:t>
    </w:r>
    <w:r w:rsidRPr="007D5848">
      <w:rPr>
        <w:b/>
        <w:i/>
        <w:color w:val="002060"/>
        <w:spacing w:val="-4"/>
        <w:sz w:val="12"/>
        <w:szCs w:val="12"/>
        <w:lang w:val="en-GB"/>
      </w:rPr>
      <w:t xml:space="preserve"> </w:t>
    </w:r>
    <w:r w:rsidRPr="007D5848">
      <w:rPr>
        <w:b/>
        <w:i/>
        <w:color w:val="002060"/>
        <w:sz w:val="12"/>
        <w:szCs w:val="12"/>
        <w:lang w:val="en-GB"/>
      </w:rPr>
      <w:t>Fax:</w:t>
    </w:r>
    <w:r w:rsidRPr="007D5848">
      <w:rPr>
        <w:b/>
        <w:i/>
        <w:color w:val="002060"/>
        <w:spacing w:val="-1"/>
        <w:sz w:val="12"/>
        <w:szCs w:val="12"/>
        <w:lang w:val="en-GB"/>
      </w:rPr>
      <w:t xml:space="preserve"> </w:t>
    </w:r>
    <w:r w:rsidRPr="007D5848">
      <w:rPr>
        <w:b/>
        <w:i/>
        <w:color w:val="002060"/>
        <w:sz w:val="12"/>
        <w:szCs w:val="12"/>
        <w:lang w:val="en-GB"/>
      </w:rPr>
      <w:t>+90</w:t>
    </w:r>
    <w:r w:rsidRPr="007D5848">
      <w:rPr>
        <w:b/>
        <w:i/>
        <w:color w:val="002060"/>
        <w:spacing w:val="-4"/>
        <w:sz w:val="12"/>
        <w:szCs w:val="12"/>
        <w:lang w:val="en-GB"/>
      </w:rPr>
      <w:t xml:space="preserve"> </w:t>
    </w:r>
    <w:r w:rsidRPr="007D5848">
      <w:rPr>
        <w:b/>
        <w:i/>
        <w:color w:val="002060"/>
        <w:sz w:val="12"/>
        <w:szCs w:val="12"/>
        <w:lang w:val="en-GB"/>
      </w:rPr>
      <w:t>(212)</w:t>
    </w:r>
    <w:r w:rsidRPr="007D5848">
      <w:rPr>
        <w:b/>
        <w:i/>
        <w:color w:val="002060"/>
        <w:spacing w:val="-5"/>
        <w:sz w:val="12"/>
        <w:szCs w:val="12"/>
        <w:lang w:val="en-GB"/>
      </w:rPr>
      <w:t xml:space="preserve"> </w:t>
    </w:r>
    <w:r w:rsidRPr="007D5848">
      <w:rPr>
        <w:b/>
        <w:i/>
        <w:color w:val="002060"/>
        <w:sz w:val="12"/>
        <w:szCs w:val="12"/>
        <w:lang w:val="en-GB"/>
      </w:rPr>
      <w:t>351 30 65</w:t>
    </w:r>
    <w:r w:rsidRPr="007D5848">
      <w:rPr>
        <w:b/>
        <w:i/>
        <w:color w:val="002060"/>
        <w:spacing w:val="-4"/>
        <w:sz w:val="12"/>
        <w:szCs w:val="12"/>
        <w:lang w:val="en-GB"/>
      </w:rPr>
      <w:t xml:space="preserve"> </w:t>
    </w:r>
    <w:r w:rsidRPr="007D5848">
      <w:rPr>
        <w:b/>
        <w:i/>
        <w:color w:val="002060"/>
        <w:sz w:val="12"/>
        <w:szCs w:val="12"/>
        <w:lang w:val="en-GB"/>
      </w:rPr>
      <w:t>Reproduction is prohibited except by permission. All rights reserved. All information has been obtained from sources World Rating believes to be reliable. However, World Rating does not guarantee the truth, accuracy and adequacy of this information. World Rating ratings are objective and independent opinions as to the creditworthiness of a security and issuer and not to be considered a recommendation to buy, hold or sell any security or to issue a loan. This rating report has been composed within the methodologies registered with and certified by the SPK (CMB-Capital Markets Board of Turkey). This report also complies with the Banking Regulation and Supervision Agency (BRSA) and internationally accepted rating principles and guidelines, but is not subject to NRSRO regulations. www.worldrating.com.tr</w:t>
    </w:r>
  </w:p>
  <w:p w14:paraId="6A5BAA87" w14:textId="77777777" w:rsidR="00BB2878" w:rsidRPr="00BB2878" w:rsidRDefault="00BB2878" w:rsidP="0007623E">
    <w:pPr>
      <w:spacing w:after="0"/>
      <w:jc w:val="center"/>
      <w:rPr>
        <w:b/>
        <w:color w:val="000066"/>
        <w:sz w:val="19"/>
        <w:szCs w:val="19"/>
        <w14:shadow w14:blurRad="50800" w14:dist="38100" w14:dir="2700000" w14:sx="100000" w14:sy="100000" w14:kx="0" w14:ky="0" w14:algn="tl">
          <w14:srgbClr w14:val="000000">
            <w14:alpha w14:val="60000"/>
          </w14:srgbClr>
        </w14:shad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71BA0" w14:textId="77777777" w:rsidR="00CA2D5A" w:rsidRDefault="00CA2D5A">
      <w:pPr>
        <w:spacing w:after="0" w:line="240" w:lineRule="auto"/>
      </w:pPr>
      <w:r>
        <w:separator/>
      </w:r>
    </w:p>
  </w:footnote>
  <w:footnote w:type="continuationSeparator" w:id="0">
    <w:p w14:paraId="5D36A1D7" w14:textId="77777777" w:rsidR="00CA2D5A" w:rsidRDefault="00CA2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0CA9E" w14:textId="085BA8A7" w:rsidR="00BB2878" w:rsidRPr="007546EB" w:rsidRDefault="00000000" w:rsidP="007546EB">
    <w:pPr>
      <w:pStyle w:val="Header"/>
      <w:jc w:val="center"/>
    </w:pPr>
    <w:r>
      <w:rPr>
        <w:noProof/>
      </w:rPr>
      <w:pict w14:anchorId="601867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90861" o:spid="_x0000_s1025" type="#_x0000_t136" style="position:absolute;left:0;text-align:left;margin-left:0;margin-top:0;width:688.5pt;height:92.25pt;rotation:315;z-index:-251658752;mso-position-horizontal:center;mso-position-horizontal-relative:margin;mso-position-vertical:center;mso-position-vertical-relative:margin" o:allowincell="f" fillcolor="#b4c6e7" stroked="f">
          <v:fill opacity=".5"/>
          <v:textpath style="font-family:&quot;Tw Cen MT&quot;;font-size:80pt" string="WR-WORLD RATING"/>
          <w10:wrap anchorx="margin" anchory="margin"/>
        </v:shape>
      </w:pict>
    </w:r>
    <w:r w:rsidR="00BB2878" w:rsidRPr="00CF4CE8">
      <w:rPr>
        <w:noProof/>
      </w:rPr>
      <w:drawing>
        <wp:inline distT="0" distB="0" distL="0" distR="0" wp14:anchorId="2350A118" wp14:editId="5611EA70">
          <wp:extent cx="2828925" cy="619125"/>
          <wp:effectExtent l="0" t="0" r="9525" b="9525"/>
          <wp:docPr id="200173356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8925"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C0369"/>
    <w:multiLevelType w:val="hybridMultilevel"/>
    <w:tmpl w:val="29609070"/>
    <w:lvl w:ilvl="0" w:tplc="B0A641E0">
      <w:start w:val="1"/>
      <w:numFmt w:val="bullet"/>
      <w:lvlText w:val=""/>
      <w:lvlJc w:val="left"/>
      <w:pPr>
        <w:ind w:left="720" w:hanging="360"/>
      </w:pPr>
      <w:rPr>
        <w:rFonts w:ascii="Symbol" w:hAnsi="Symbol"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0A0C83"/>
    <w:multiLevelType w:val="hybridMultilevel"/>
    <w:tmpl w:val="804A103A"/>
    <w:lvl w:ilvl="0" w:tplc="7BE6BEA2">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E01E9"/>
    <w:multiLevelType w:val="hybridMultilevel"/>
    <w:tmpl w:val="CD06FD12"/>
    <w:lvl w:ilvl="0" w:tplc="7BE6BEA2">
      <w:start w:val="1"/>
      <w:numFmt w:val="bullet"/>
      <w:lvlText w:val=""/>
      <w:lvlJc w:val="left"/>
      <w:pPr>
        <w:ind w:left="720" w:hanging="360"/>
      </w:pPr>
      <w:rPr>
        <w:rFonts w:ascii="Symbol" w:hAnsi="Symbol" w:hint="default"/>
        <w:color w:val="4472C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3B755A1"/>
    <w:multiLevelType w:val="hybridMultilevel"/>
    <w:tmpl w:val="8B2C79A4"/>
    <w:lvl w:ilvl="0" w:tplc="7BE6BEA2">
      <w:start w:val="1"/>
      <w:numFmt w:val="bullet"/>
      <w:lvlText w:val=""/>
      <w:lvlJc w:val="left"/>
      <w:pPr>
        <w:ind w:left="720" w:hanging="360"/>
      </w:pPr>
      <w:rPr>
        <w:rFonts w:ascii="Symbol" w:hAnsi="Symbol" w:hint="default"/>
        <w:color w:val="4472C4"/>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A41D7F"/>
    <w:multiLevelType w:val="hybridMultilevel"/>
    <w:tmpl w:val="9E3CD00A"/>
    <w:lvl w:ilvl="0" w:tplc="B574BF0C">
      <w:start w:val="1"/>
      <w:numFmt w:val="bullet"/>
      <w:lvlText w:val=""/>
      <w:lvlJc w:val="left"/>
      <w:pPr>
        <w:ind w:left="720" w:hanging="360"/>
      </w:pPr>
      <w:rPr>
        <w:rFonts w:ascii="Symbol" w:hAnsi="Symbol" w:hint="default"/>
        <w:color w:val="004E9A"/>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DA60551"/>
    <w:multiLevelType w:val="hybridMultilevel"/>
    <w:tmpl w:val="39780E48"/>
    <w:lvl w:ilvl="0" w:tplc="7BE6BEA2">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F005B"/>
    <w:multiLevelType w:val="hybridMultilevel"/>
    <w:tmpl w:val="8CDAF36C"/>
    <w:lvl w:ilvl="0" w:tplc="7BE6BEA2">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8C5B3A"/>
    <w:multiLevelType w:val="hybridMultilevel"/>
    <w:tmpl w:val="4CFCEB4C"/>
    <w:lvl w:ilvl="0" w:tplc="7BE6BEA2">
      <w:start w:val="1"/>
      <w:numFmt w:val="bullet"/>
      <w:lvlText w:val=""/>
      <w:lvlJc w:val="left"/>
      <w:pPr>
        <w:ind w:left="720" w:hanging="360"/>
      </w:pPr>
      <w:rPr>
        <w:rFonts w:ascii="Symbol" w:hAnsi="Symbol" w:hint="default"/>
        <w:color w:val="4472C4"/>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00A2509"/>
    <w:multiLevelType w:val="hybridMultilevel"/>
    <w:tmpl w:val="16726D6E"/>
    <w:lvl w:ilvl="0" w:tplc="7BE6BEA2">
      <w:start w:val="1"/>
      <w:numFmt w:val="bullet"/>
      <w:lvlText w:val=""/>
      <w:lvlJc w:val="left"/>
      <w:pPr>
        <w:ind w:left="720" w:hanging="360"/>
      </w:pPr>
      <w:rPr>
        <w:rFonts w:ascii="Symbol" w:hAnsi="Symbol" w:hint="default"/>
        <w:color w:val="4472C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459708E"/>
    <w:multiLevelType w:val="hybridMultilevel"/>
    <w:tmpl w:val="7F9AB2B4"/>
    <w:lvl w:ilvl="0" w:tplc="43E2CABA">
      <w:start w:val="1"/>
      <w:numFmt w:val="bullet"/>
      <w:lvlText w:val=""/>
      <w:lvlJc w:val="left"/>
      <w:pPr>
        <w:ind w:left="720" w:hanging="360"/>
      </w:pPr>
      <w:rPr>
        <w:rFonts w:ascii="Symbol" w:hAnsi="Symbol" w:hint="default"/>
        <w:color w:val="0024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C630AE"/>
    <w:multiLevelType w:val="hybridMultilevel"/>
    <w:tmpl w:val="A4002D44"/>
    <w:lvl w:ilvl="0" w:tplc="7BE6BEA2">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100942"/>
    <w:multiLevelType w:val="hybridMultilevel"/>
    <w:tmpl w:val="20B65982"/>
    <w:lvl w:ilvl="0" w:tplc="529C8456">
      <w:start w:val="1"/>
      <w:numFmt w:val="bullet"/>
      <w:lvlText w:val=""/>
      <w:lvlJc w:val="left"/>
      <w:pPr>
        <w:ind w:left="720" w:hanging="360"/>
      </w:pPr>
      <w:rPr>
        <w:rFonts w:ascii="Wingdings" w:hAnsi="Wingdings" w:hint="default"/>
        <w:b/>
        <w:bCs/>
        <w:color w:val="00206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D356E7"/>
    <w:multiLevelType w:val="hybridMultilevel"/>
    <w:tmpl w:val="AA027BE8"/>
    <w:lvl w:ilvl="0" w:tplc="DDF24C36">
      <w:start w:val="1"/>
      <w:numFmt w:val="bullet"/>
      <w:lvlText w:val=""/>
      <w:lvlJc w:val="left"/>
      <w:pPr>
        <w:ind w:left="720" w:hanging="360"/>
      </w:pPr>
      <w:rPr>
        <w:rFonts w:ascii="Symbol" w:hAnsi="Symbol" w:hint="default"/>
        <w:color w:val="0024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661921"/>
    <w:multiLevelType w:val="hybridMultilevel"/>
    <w:tmpl w:val="758A8ED0"/>
    <w:lvl w:ilvl="0" w:tplc="B0A641E0">
      <w:start w:val="1"/>
      <w:numFmt w:val="bullet"/>
      <w:lvlText w:val=""/>
      <w:lvlJc w:val="left"/>
      <w:pPr>
        <w:ind w:left="720" w:hanging="360"/>
      </w:pPr>
      <w:rPr>
        <w:rFonts w:ascii="Symbol" w:hAnsi="Symbol" w:hint="default"/>
        <w:color w:val="4472C4" w:themeColor="accen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54D5FEE"/>
    <w:multiLevelType w:val="hybridMultilevel"/>
    <w:tmpl w:val="06400A68"/>
    <w:lvl w:ilvl="0" w:tplc="7BE6BEA2">
      <w:start w:val="1"/>
      <w:numFmt w:val="bullet"/>
      <w:lvlText w:val=""/>
      <w:lvlJc w:val="left"/>
      <w:pPr>
        <w:ind w:left="1004" w:hanging="360"/>
      </w:pPr>
      <w:rPr>
        <w:rFonts w:ascii="Symbol" w:hAnsi="Symbol" w:hint="default"/>
        <w:color w:val="4472C4"/>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79D664E3"/>
    <w:multiLevelType w:val="hybridMultilevel"/>
    <w:tmpl w:val="3B161980"/>
    <w:lvl w:ilvl="0" w:tplc="7BE6BEA2">
      <w:start w:val="1"/>
      <w:numFmt w:val="bullet"/>
      <w:lvlText w:val=""/>
      <w:lvlJc w:val="left"/>
      <w:pPr>
        <w:ind w:left="720" w:hanging="360"/>
      </w:pPr>
      <w:rPr>
        <w:rFonts w:ascii="Symbol" w:hAnsi="Symbol" w:hint="default"/>
        <w:color w:val="4472C4"/>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3151216">
    <w:abstractNumId w:val="11"/>
  </w:num>
  <w:num w:numId="2" w16cid:durableId="1774739757">
    <w:abstractNumId w:val="7"/>
  </w:num>
  <w:num w:numId="3" w16cid:durableId="1136991836">
    <w:abstractNumId w:val="10"/>
  </w:num>
  <w:num w:numId="4" w16cid:durableId="1770155250">
    <w:abstractNumId w:val="6"/>
  </w:num>
  <w:num w:numId="5" w16cid:durableId="1398629249">
    <w:abstractNumId w:val="1"/>
  </w:num>
  <w:num w:numId="6" w16cid:durableId="2068842808">
    <w:abstractNumId w:val="5"/>
  </w:num>
  <w:num w:numId="7" w16cid:durableId="1608544738">
    <w:abstractNumId w:val="14"/>
  </w:num>
  <w:num w:numId="8" w16cid:durableId="830874610">
    <w:abstractNumId w:val="3"/>
  </w:num>
  <w:num w:numId="9" w16cid:durableId="1808352580">
    <w:abstractNumId w:val="0"/>
  </w:num>
  <w:num w:numId="10" w16cid:durableId="2081439477">
    <w:abstractNumId w:val="4"/>
  </w:num>
  <w:num w:numId="11" w16cid:durableId="1513883706">
    <w:abstractNumId w:val="8"/>
  </w:num>
  <w:num w:numId="12" w16cid:durableId="1653102115">
    <w:abstractNumId w:val="15"/>
  </w:num>
  <w:num w:numId="13" w16cid:durableId="970866282">
    <w:abstractNumId w:val="2"/>
  </w:num>
  <w:num w:numId="14" w16cid:durableId="1282028367">
    <w:abstractNumId w:val="13"/>
  </w:num>
  <w:num w:numId="15" w16cid:durableId="681860623">
    <w:abstractNumId w:val="9"/>
  </w:num>
  <w:num w:numId="16" w16cid:durableId="13452829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878"/>
    <w:rsid w:val="00083DC8"/>
    <w:rsid w:val="00087AB1"/>
    <w:rsid w:val="00103226"/>
    <w:rsid w:val="00185A21"/>
    <w:rsid w:val="001A4B1B"/>
    <w:rsid w:val="001B5728"/>
    <w:rsid w:val="001B5CD6"/>
    <w:rsid w:val="00224367"/>
    <w:rsid w:val="00357F86"/>
    <w:rsid w:val="0041438A"/>
    <w:rsid w:val="004B669F"/>
    <w:rsid w:val="0075282F"/>
    <w:rsid w:val="007C1EC7"/>
    <w:rsid w:val="00953DF3"/>
    <w:rsid w:val="0098431B"/>
    <w:rsid w:val="00BB2878"/>
    <w:rsid w:val="00BF42E2"/>
    <w:rsid w:val="00C141F9"/>
    <w:rsid w:val="00CA2D5A"/>
    <w:rsid w:val="00D83B11"/>
    <w:rsid w:val="00DD3516"/>
    <w:rsid w:val="00DE14D0"/>
    <w:rsid w:val="00E44701"/>
    <w:rsid w:val="00E5107C"/>
    <w:rsid w:val="00F11129"/>
    <w:rsid w:val="00FB2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DFBF"/>
  <w15:chartTrackingRefBased/>
  <w15:docId w15:val="{E9FE5358-8E84-4C87-AF4F-AF2F0E92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878"/>
    <w:pPr>
      <w:spacing w:after="200" w:line="276" w:lineRule="auto"/>
    </w:pPr>
    <w:rPr>
      <w:rFonts w:ascii="Calibri" w:eastAsia="Calibri" w:hAnsi="Calibri" w:cs="Times New Roman"/>
      <w:lang w:val="tr-TR"/>
    </w:rPr>
  </w:style>
  <w:style w:type="paragraph" w:styleId="Heading1">
    <w:name w:val="heading 1"/>
    <w:basedOn w:val="Normal"/>
    <w:next w:val="Normal"/>
    <w:link w:val="Heading1Char"/>
    <w:uiPriority w:val="9"/>
    <w:qFormat/>
    <w:rsid w:val="00BB28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28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28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28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28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28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8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8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8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8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28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28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28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28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28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8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8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878"/>
    <w:rPr>
      <w:rFonts w:eastAsiaTheme="majorEastAsia" w:cstheme="majorBidi"/>
      <w:color w:val="272727" w:themeColor="text1" w:themeTint="D8"/>
    </w:rPr>
  </w:style>
  <w:style w:type="paragraph" w:styleId="Title">
    <w:name w:val="Title"/>
    <w:basedOn w:val="Normal"/>
    <w:next w:val="Normal"/>
    <w:link w:val="TitleChar"/>
    <w:uiPriority w:val="10"/>
    <w:qFormat/>
    <w:rsid w:val="00BB28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8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8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8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878"/>
    <w:pPr>
      <w:spacing w:before="160"/>
      <w:jc w:val="center"/>
    </w:pPr>
    <w:rPr>
      <w:i/>
      <w:iCs/>
      <w:color w:val="404040" w:themeColor="text1" w:themeTint="BF"/>
    </w:rPr>
  </w:style>
  <w:style w:type="character" w:customStyle="1" w:styleId="QuoteChar">
    <w:name w:val="Quote Char"/>
    <w:basedOn w:val="DefaultParagraphFont"/>
    <w:link w:val="Quote"/>
    <w:uiPriority w:val="29"/>
    <w:rsid w:val="00BB2878"/>
    <w:rPr>
      <w:i/>
      <w:iCs/>
      <w:color w:val="404040" w:themeColor="text1" w:themeTint="BF"/>
    </w:rPr>
  </w:style>
  <w:style w:type="paragraph" w:styleId="ListParagraph">
    <w:name w:val="List Paragraph"/>
    <w:basedOn w:val="Normal"/>
    <w:uiPriority w:val="34"/>
    <w:qFormat/>
    <w:rsid w:val="00BB2878"/>
    <w:pPr>
      <w:ind w:left="720"/>
      <w:contextualSpacing/>
    </w:pPr>
  </w:style>
  <w:style w:type="character" w:styleId="IntenseEmphasis">
    <w:name w:val="Intense Emphasis"/>
    <w:basedOn w:val="DefaultParagraphFont"/>
    <w:uiPriority w:val="21"/>
    <w:qFormat/>
    <w:rsid w:val="00BB2878"/>
    <w:rPr>
      <w:i/>
      <w:iCs/>
      <w:color w:val="2F5496" w:themeColor="accent1" w:themeShade="BF"/>
    </w:rPr>
  </w:style>
  <w:style w:type="paragraph" w:styleId="IntenseQuote">
    <w:name w:val="Intense Quote"/>
    <w:basedOn w:val="Normal"/>
    <w:next w:val="Normal"/>
    <w:link w:val="IntenseQuoteChar"/>
    <w:uiPriority w:val="30"/>
    <w:qFormat/>
    <w:rsid w:val="00BB28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2878"/>
    <w:rPr>
      <w:i/>
      <w:iCs/>
      <w:color w:val="2F5496" w:themeColor="accent1" w:themeShade="BF"/>
    </w:rPr>
  </w:style>
  <w:style w:type="character" w:styleId="IntenseReference">
    <w:name w:val="Intense Reference"/>
    <w:basedOn w:val="DefaultParagraphFont"/>
    <w:uiPriority w:val="32"/>
    <w:qFormat/>
    <w:rsid w:val="00BB2878"/>
    <w:rPr>
      <w:b/>
      <w:bCs/>
      <w:smallCaps/>
      <w:color w:val="2F5496" w:themeColor="accent1" w:themeShade="BF"/>
      <w:spacing w:val="5"/>
    </w:rPr>
  </w:style>
  <w:style w:type="paragraph" w:styleId="Header">
    <w:name w:val="header"/>
    <w:basedOn w:val="Normal"/>
    <w:link w:val="HeaderChar"/>
    <w:uiPriority w:val="99"/>
    <w:unhideWhenUsed/>
    <w:rsid w:val="00BB2878"/>
    <w:pPr>
      <w:tabs>
        <w:tab w:val="center" w:pos="4536"/>
        <w:tab w:val="right" w:pos="9072"/>
      </w:tabs>
    </w:pPr>
  </w:style>
  <w:style w:type="character" w:customStyle="1" w:styleId="HeaderChar">
    <w:name w:val="Header Char"/>
    <w:basedOn w:val="DefaultParagraphFont"/>
    <w:link w:val="Header"/>
    <w:uiPriority w:val="99"/>
    <w:rsid w:val="00BB2878"/>
    <w:rPr>
      <w:rFonts w:ascii="Calibri" w:eastAsia="Calibri" w:hAnsi="Calibri" w:cs="Times New Roman"/>
      <w:lang w:val="tr-TR"/>
    </w:rPr>
  </w:style>
  <w:style w:type="paragraph" w:styleId="Footer">
    <w:name w:val="footer"/>
    <w:basedOn w:val="Normal"/>
    <w:link w:val="FooterChar"/>
    <w:uiPriority w:val="99"/>
    <w:unhideWhenUsed/>
    <w:rsid w:val="00BB2878"/>
    <w:pPr>
      <w:tabs>
        <w:tab w:val="center" w:pos="4536"/>
        <w:tab w:val="right" w:pos="9072"/>
      </w:tabs>
    </w:pPr>
  </w:style>
  <w:style w:type="character" w:customStyle="1" w:styleId="FooterChar">
    <w:name w:val="Footer Char"/>
    <w:basedOn w:val="DefaultParagraphFont"/>
    <w:link w:val="Footer"/>
    <w:uiPriority w:val="99"/>
    <w:rsid w:val="00BB2878"/>
    <w:rPr>
      <w:rFonts w:ascii="Calibri" w:eastAsia="Calibri" w:hAnsi="Calibri" w:cs="Times New Roman"/>
      <w:lang w:val="tr-TR"/>
    </w:rPr>
  </w:style>
  <w:style w:type="character" w:styleId="Emphasis">
    <w:name w:val="Emphasis"/>
    <w:uiPriority w:val="20"/>
    <w:qFormat/>
    <w:rsid w:val="00BB28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658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İnfo</cp:lastModifiedBy>
  <cp:revision>3</cp:revision>
  <dcterms:created xsi:type="dcterms:W3CDTF">2026-10-22T09:19:00Z</dcterms:created>
  <dcterms:modified xsi:type="dcterms:W3CDTF">2026-10-22T09:22:00Z</dcterms:modified>
</cp:coreProperties>
</file>